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401" w:rsidRDefault="006F4401" w:rsidP="006F4401">
      <w:pPr>
        <w:pStyle w:val="Heading1"/>
      </w:pPr>
      <w:bookmarkStart w:id="0" w:name="_Toc407978889"/>
      <w:r>
        <w:t>PAINT PAVEMENT MARKING</w:t>
      </w:r>
      <w:bookmarkEnd w:id="0"/>
    </w:p>
    <w:p w:rsidR="006F4401" w:rsidRDefault="00DE2995" w:rsidP="006F4401">
      <w:r>
        <w:t xml:space="preserve">Updated: </w:t>
      </w:r>
      <w:r w:rsidR="00E57077">
        <w:t>1</w:t>
      </w:r>
      <w:r>
        <w:t>/</w:t>
      </w:r>
      <w:r w:rsidR="00E57077">
        <w:t>1</w:t>
      </w:r>
      <w:r>
        <w:t>7/202</w:t>
      </w:r>
      <w:r w:rsidR="00E57077">
        <w:t>4</w:t>
      </w:r>
    </w:p>
    <w:p w:rsidR="00DE2995" w:rsidRPr="006F4401" w:rsidRDefault="00DE2995" w:rsidP="006F4401"/>
    <w:p w:rsidR="006F4401" w:rsidRDefault="006F4401" w:rsidP="006F4401">
      <w:pPr>
        <w:rPr>
          <w:rFonts w:cs="Times New Roman"/>
          <w:szCs w:val="24"/>
        </w:rPr>
      </w:pPr>
      <w:r>
        <w:rPr>
          <w:rFonts w:cs="Times New Roman"/>
          <w:b/>
          <w:szCs w:val="24"/>
        </w:rPr>
        <w:t xml:space="preserve">Installation requirements: </w:t>
      </w:r>
      <w:r w:rsidRPr="0063764F">
        <w:rPr>
          <w:rFonts w:cs="Times New Roman"/>
          <w:szCs w:val="24"/>
        </w:rPr>
        <w:t xml:space="preserve">The installation </w:t>
      </w:r>
      <w:r w:rsidR="00D21A4A" w:rsidRPr="00FF37F9">
        <w:rPr>
          <w:rFonts w:cs="Times New Roman"/>
          <w:b/>
          <w:i/>
          <w:szCs w:val="24"/>
        </w:rPr>
        <w:t>(including layout)</w:t>
      </w:r>
      <w:r w:rsidR="00D21A4A">
        <w:rPr>
          <w:rFonts w:cs="Times New Roman"/>
          <w:szCs w:val="24"/>
        </w:rPr>
        <w:t xml:space="preserve"> </w:t>
      </w:r>
      <w:r w:rsidRPr="0063764F">
        <w:rPr>
          <w:rFonts w:cs="Times New Roman"/>
          <w:szCs w:val="24"/>
        </w:rPr>
        <w:t xml:space="preserve">of all paint pavement markings shall be in accordance with </w:t>
      </w:r>
      <w:r w:rsidRPr="0063764F">
        <w:rPr>
          <w:rFonts w:cs="Times New Roman"/>
          <w:bCs/>
          <w:szCs w:val="24"/>
        </w:rPr>
        <w:t>Section</w:t>
      </w:r>
      <w:r w:rsidRPr="0063764F">
        <w:rPr>
          <w:rFonts w:cs="Times New Roman"/>
          <w:szCs w:val="24"/>
        </w:rPr>
        <w:t xml:space="preserve"> 780</w:t>
      </w:r>
      <w:bookmarkStart w:id="1" w:name="_GoBack"/>
      <w:bookmarkEnd w:id="1"/>
      <w:r w:rsidRPr="0063764F">
        <w:rPr>
          <w:rFonts w:cs="Times New Roman"/>
          <w:b/>
          <w:szCs w:val="24"/>
        </w:rPr>
        <w:t xml:space="preserve"> </w:t>
      </w:r>
      <w:r w:rsidRPr="0063764F">
        <w:rPr>
          <w:rFonts w:cs="Times New Roman"/>
          <w:szCs w:val="24"/>
        </w:rPr>
        <w:t>of the Standard Specifications.</w:t>
      </w:r>
    </w:p>
    <w:p w:rsidR="00C32B5F" w:rsidRDefault="00C32B5F" w:rsidP="006F4401">
      <w:pPr>
        <w:rPr>
          <w:rFonts w:cs="Times New Roman"/>
          <w:szCs w:val="24"/>
        </w:rPr>
      </w:pPr>
    </w:p>
    <w:p w:rsidR="00FF37F9" w:rsidRPr="00462608" w:rsidRDefault="00FF37F9" w:rsidP="00FF37F9">
      <w:r w:rsidRPr="00E57077">
        <w:rPr>
          <w:rFonts w:cs="Times New Roman"/>
        </w:rPr>
        <w:t xml:space="preserve">Layout of paint pavement marking lines and symbols will be incidental to the PAINT PAVEMENT MARKING pay items.  </w:t>
      </w:r>
      <w:r w:rsidR="00E57077" w:rsidRPr="00E57077">
        <w:rPr>
          <w:rFonts w:cs="Times New Roman"/>
        </w:rPr>
        <w:t>Layout and application of pavement markings, especially “hand-work”, shall be done concurrently, to the best of the contractor’s effort, in order to be efficient and to minimize disruption of traffic on busy roads.</w:t>
      </w:r>
      <w:r w:rsidR="00E57077" w:rsidRPr="00E57077">
        <w:rPr>
          <w:rFonts w:cs="Times New Roman"/>
        </w:rPr>
        <w:t xml:space="preserve">  </w:t>
      </w:r>
      <w:r w:rsidRPr="00E57077">
        <w:rPr>
          <w:rFonts w:cs="Times New Roman"/>
        </w:rPr>
        <w:t xml:space="preserve">After the Contractor has laid out the pavement markings, approval must be given from the Engineer prior to the start of permanent striping.  </w:t>
      </w:r>
      <w:r w:rsidRPr="00E57077">
        <w:rPr>
          <w:rFonts w:cs="Times New Roman"/>
          <w:b/>
          <w:i/>
        </w:rPr>
        <w:t>24 hour notice must be given to the Engineer, for review of layout</w:t>
      </w:r>
      <w:r w:rsidRPr="00462608">
        <w:rPr>
          <w:b/>
          <w:i/>
        </w:rPr>
        <w:t>, prior to the start of placement.</w:t>
      </w:r>
    </w:p>
    <w:p w:rsidR="00FF37F9" w:rsidRDefault="00FF37F9" w:rsidP="006F4401">
      <w:pPr>
        <w:rPr>
          <w:rFonts w:cs="Times New Roman"/>
          <w:szCs w:val="24"/>
        </w:rPr>
      </w:pPr>
    </w:p>
    <w:p w:rsidR="00C32B5F" w:rsidRDefault="00C32B5F" w:rsidP="00C32B5F">
      <w:r w:rsidRPr="00F8082D">
        <w:rPr>
          <w:b/>
          <w:i/>
        </w:rPr>
        <w:t xml:space="preserve">For </w:t>
      </w:r>
      <w:r>
        <w:rPr>
          <w:b/>
          <w:i/>
        </w:rPr>
        <w:t>locations/routes/</w:t>
      </w:r>
      <w:r w:rsidRPr="00F8082D">
        <w:rPr>
          <w:b/>
          <w:i/>
        </w:rPr>
        <w:t>roads longer than 200 feet, a truck mounted spraying device, operated from the same truck that the equipment is mounted from</w:t>
      </w:r>
      <w:r>
        <w:rPr>
          <w:b/>
          <w:i/>
        </w:rPr>
        <w:t>,</w:t>
      </w:r>
      <w:r w:rsidRPr="00F8082D">
        <w:rPr>
          <w:b/>
          <w:i/>
        </w:rPr>
        <w:t xml:space="preserve"> is required for application.  The use of </w:t>
      </w:r>
      <w:r>
        <w:rPr>
          <w:b/>
          <w:i/>
        </w:rPr>
        <w:t>a hand truck for main line pavement markings</w:t>
      </w:r>
      <w:r w:rsidRPr="00F8082D">
        <w:rPr>
          <w:b/>
          <w:i/>
        </w:rPr>
        <w:t xml:space="preserve"> is to be avoided.</w:t>
      </w:r>
    </w:p>
    <w:p w:rsidR="00C32B5F" w:rsidRPr="0063764F" w:rsidRDefault="00C32B5F" w:rsidP="006F4401">
      <w:pPr>
        <w:rPr>
          <w:rFonts w:cs="Times New Roman"/>
          <w:szCs w:val="24"/>
        </w:rPr>
      </w:pPr>
    </w:p>
    <w:p w:rsidR="006F4401" w:rsidRPr="0063764F" w:rsidRDefault="006F4401" w:rsidP="0005782E">
      <w:pPr>
        <w:pStyle w:val="ListParagraph"/>
        <w:numPr>
          <w:ilvl w:val="0"/>
          <w:numId w:val="2"/>
        </w:numPr>
        <w:rPr>
          <w:rFonts w:ascii="Times New Roman" w:hAnsi="Times New Roman"/>
          <w:b/>
          <w:bCs/>
          <w:szCs w:val="24"/>
        </w:rPr>
      </w:pPr>
      <w:r>
        <w:rPr>
          <w:rFonts w:ascii="Times New Roman" w:hAnsi="Times New Roman"/>
          <w:szCs w:val="24"/>
        </w:rPr>
        <w:t>A</w:t>
      </w:r>
      <w:r w:rsidRPr="0063764F">
        <w:rPr>
          <w:rFonts w:ascii="Times New Roman" w:hAnsi="Times New Roman"/>
          <w:szCs w:val="24"/>
        </w:rPr>
        <w:t xml:space="preserve">ll materials used in the installation of paint pavement markings shall be accordance with </w:t>
      </w:r>
      <w:r w:rsidRPr="0063764F">
        <w:rPr>
          <w:rFonts w:ascii="Times New Roman" w:hAnsi="Times New Roman"/>
          <w:bCs/>
          <w:szCs w:val="24"/>
        </w:rPr>
        <w:t>Section 1095</w:t>
      </w:r>
      <w:r w:rsidRPr="0063764F">
        <w:rPr>
          <w:rFonts w:ascii="Times New Roman" w:hAnsi="Times New Roman"/>
          <w:b/>
          <w:szCs w:val="24"/>
        </w:rPr>
        <w:t xml:space="preserve"> </w:t>
      </w:r>
      <w:r w:rsidRPr="0063764F">
        <w:rPr>
          <w:rFonts w:ascii="Times New Roman" w:hAnsi="Times New Roman"/>
          <w:szCs w:val="24"/>
        </w:rPr>
        <w:t>of the Standard Specifications.</w:t>
      </w:r>
    </w:p>
    <w:p w:rsidR="006F4401" w:rsidRPr="0063764F" w:rsidRDefault="006F4401" w:rsidP="0005782E">
      <w:pPr>
        <w:numPr>
          <w:ilvl w:val="0"/>
          <w:numId w:val="2"/>
        </w:numPr>
        <w:spacing w:line="240" w:lineRule="auto"/>
        <w:rPr>
          <w:rFonts w:cs="Times New Roman"/>
          <w:szCs w:val="24"/>
        </w:rPr>
      </w:pPr>
      <w:r w:rsidRPr="0063764F">
        <w:rPr>
          <w:rFonts w:cs="Times New Roman"/>
          <w:szCs w:val="24"/>
        </w:rPr>
        <w:t>On all existing roadway surface</w:t>
      </w:r>
      <w:r>
        <w:rPr>
          <w:rFonts w:cs="Times New Roman"/>
          <w:szCs w:val="24"/>
        </w:rPr>
        <w:t>s, prior to the application of p</w:t>
      </w:r>
      <w:r w:rsidRPr="0063764F">
        <w:rPr>
          <w:rFonts w:cs="Times New Roman"/>
          <w:szCs w:val="24"/>
        </w:rPr>
        <w:t>aint pavement marking, the Contractor shall make certain that the pavement surface is dry and free of dirt, grease and loose paint or any other pavement marking.  The surface shall be cleaned by water blasting or by other means to the satisfaction of the Engineer and/or his authorized representative.</w:t>
      </w:r>
    </w:p>
    <w:p w:rsidR="006F4401" w:rsidRPr="0063764F" w:rsidRDefault="006F4401" w:rsidP="006F4401">
      <w:pPr>
        <w:numPr>
          <w:ilvl w:val="0"/>
          <w:numId w:val="2"/>
        </w:numPr>
        <w:rPr>
          <w:rFonts w:cs="Times New Roman"/>
          <w:szCs w:val="24"/>
        </w:rPr>
      </w:pPr>
      <w:r w:rsidRPr="0063764F">
        <w:rPr>
          <w:rFonts w:cs="Times New Roman"/>
          <w:szCs w:val="24"/>
        </w:rPr>
        <w:t xml:space="preserve">The paint pavement marking shall be applied at a minimum thickness of </w:t>
      </w:r>
      <w:r w:rsidRPr="0063764F">
        <w:rPr>
          <w:rFonts w:cs="Times New Roman"/>
          <w:bCs/>
          <w:szCs w:val="24"/>
        </w:rPr>
        <w:t>0.41 mm (16 mils +/- 0.1 mil)</w:t>
      </w:r>
      <w:r w:rsidRPr="0063764F">
        <w:rPr>
          <w:rFonts w:cs="Times New Roman"/>
          <w:szCs w:val="24"/>
        </w:rPr>
        <w:t xml:space="preserve"> before the glass beads are applied.  Glass beads shall be uniformly applied by means of a double drop pressurized bead applicator system.  The system shall apply both the first drop glass beads and the second drop glass beads at a rate of </w:t>
      </w:r>
      <w:r w:rsidRPr="0063764F">
        <w:rPr>
          <w:rFonts w:cs="Times New Roman"/>
          <w:bCs/>
          <w:szCs w:val="24"/>
        </w:rPr>
        <w:t xml:space="preserve">720 g per L (6 pounds per gallon) </w:t>
      </w:r>
      <w:r w:rsidRPr="0063764F">
        <w:rPr>
          <w:rFonts w:cs="Times New Roman"/>
          <w:szCs w:val="24"/>
        </w:rPr>
        <w:t xml:space="preserve">for all roadways.  </w:t>
      </w:r>
    </w:p>
    <w:p w:rsidR="006F4401" w:rsidRPr="0063764F" w:rsidRDefault="006F4401" w:rsidP="006F4401">
      <w:pPr>
        <w:numPr>
          <w:ilvl w:val="0"/>
          <w:numId w:val="2"/>
        </w:numPr>
        <w:rPr>
          <w:rFonts w:cs="Times New Roman"/>
          <w:szCs w:val="24"/>
        </w:rPr>
      </w:pPr>
      <w:r w:rsidRPr="0063764F">
        <w:rPr>
          <w:rFonts w:cs="Times New Roman"/>
          <w:szCs w:val="24"/>
        </w:rPr>
        <w:t>Paint pavement marking shall not be applied at air temperatures below 10º C (50º F), unless otherwise directed by the Engineer and/or his authorized representative.</w:t>
      </w:r>
    </w:p>
    <w:p w:rsidR="006F4401" w:rsidRPr="0063764F" w:rsidRDefault="006F4401" w:rsidP="006F4401">
      <w:pPr>
        <w:numPr>
          <w:ilvl w:val="0"/>
          <w:numId w:val="2"/>
        </w:numPr>
        <w:rPr>
          <w:rFonts w:cs="Times New Roman"/>
          <w:i/>
          <w:szCs w:val="24"/>
        </w:rPr>
      </w:pPr>
      <w:r w:rsidRPr="0063764F">
        <w:rPr>
          <w:rFonts w:cs="Times New Roman"/>
          <w:szCs w:val="24"/>
        </w:rPr>
        <w:t xml:space="preserve">For further details on pavement markings refer to the District One pavement marking standards, IDOT </w:t>
      </w:r>
      <w:r w:rsidRPr="0063764F">
        <w:rPr>
          <w:rFonts w:cs="Times New Roman"/>
          <w:i/>
          <w:iCs/>
          <w:szCs w:val="24"/>
        </w:rPr>
        <w:t>Bureau of Operations Traffic Policies and Procedures Manual</w:t>
      </w:r>
      <w:r w:rsidRPr="0063764F">
        <w:rPr>
          <w:rFonts w:cs="Times New Roman"/>
          <w:szCs w:val="24"/>
        </w:rPr>
        <w:t xml:space="preserve">, Part 3 "Markings" in the </w:t>
      </w:r>
      <w:r w:rsidRPr="0063764F">
        <w:rPr>
          <w:rFonts w:cs="Times New Roman"/>
          <w:i/>
          <w:szCs w:val="24"/>
        </w:rPr>
        <w:t>Manual on Uniform Traffic Control Devices,</w:t>
      </w:r>
      <w:r w:rsidRPr="0063764F">
        <w:rPr>
          <w:rFonts w:cs="Times New Roman"/>
          <w:szCs w:val="24"/>
        </w:rPr>
        <w:t xml:space="preserve"> the </w:t>
      </w:r>
      <w:r w:rsidRPr="0063764F">
        <w:rPr>
          <w:rFonts w:cs="Times New Roman"/>
          <w:i/>
          <w:szCs w:val="24"/>
        </w:rPr>
        <w:t xml:space="preserve">Standard Specifications for Road and Bridge Construction </w:t>
      </w:r>
      <w:r w:rsidRPr="0063764F">
        <w:rPr>
          <w:rFonts w:cs="Times New Roman"/>
          <w:iCs/>
          <w:szCs w:val="24"/>
        </w:rPr>
        <w:t xml:space="preserve">and </w:t>
      </w:r>
      <w:r w:rsidR="00B47128" w:rsidRPr="00EA47C2">
        <w:t xml:space="preserve">the Kane County D.O.T. </w:t>
      </w:r>
      <w:r w:rsidR="009052CC">
        <w:t>Engineer</w:t>
      </w:r>
      <w:r w:rsidR="00B47128" w:rsidRPr="00EA47C2">
        <w:t>.</w:t>
      </w:r>
    </w:p>
    <w:p w:rsidR="006F4401" w:rsidRPr="0063764F" w:rsidRDefault="006F4401" w:rsidP="006F4401">
      <w:pPr>
        <w:pStyle w:val="ListParagraph"/>
        <w:numPr>
          <w:ilvl w:val="0"/>
          <w:numId w:val="2"/>
        </w:numPr>
        <w:rPr>
          <w:rFonts w:ascii="Times New Roman" w:hAnsi="Times New Roman"/>
          <w:i/>
          <w:szCs w:val="24"/>
        </w:rPr>
      </w:pPr>
      <w:r w:rsidRPr="0063764F">
        <w:rPr>
          <w:rFonts w:ascii="Times New Roman" w:hAnsi="Times New Roman"/>
          <w:szCs w:val="24"/>
        </w:rPr>
        <w:t>The two-line system of centerline marking will be used for all two (2) lane sections of roadway specified in the schedule of quantities.</w:t>
      </w:r>
    </w:p>
    <w:p w:rsidR="006F4401" w:rsidRPr="0063764F" w:rsidRDefault="006F4401" w:rsidP="006F4401">
      <w:pPr>
        <w:pStyle w:val="ListParagraph"/>
        <w:numPr>
          <w:ilvl w:val="0"/>
          <w:numId w:val="2"/>
        </w:numPr>
        <w:rPr>
          <w:rFonts w:ascii="Times New Roman" w:hAnsi="Times New Roman"/>
          <w:szCs w:val="24"/>
        </w:rPr>
      </w:pPr>
      <w:r w:rsidRPr="0063764F">
        <w:rPr>
          <w:rFonts w:ascii="Times New Roman" w:hAnsi="Times New Roman"/>
          <w:szCs w:val="24"/>
        </w:rPr>
        <w:t>The paint unit shall be equipped with measuring devices to measure actual number of lineal meters (feet) of marking.</w:t>
      </w:r>
    </w:p>
    <w:p w:rsidR="006F4401" w:rsidRPr="0063764F" w:rsidRDefault="006F4401" w:rsidP="006F4401">
      <w:pPr>
        <w:pStyle w:val="ListParagraph"/>
        <w:numPr>
          <w:ilvl w:val="0"/>
          <w:numId w:val="2"/>
        </w:numPr>
        <w:rPr>
          <w:rFonts w:ascii="Times New Roman" w:hAnsi="Times New Roman"/>
          <w:szCs w:val="24"/>
        </w:rPr>
      </w:pPr>
      <w:r w:rsidRPr="0063764F">
        <w:rPr>
          <w:rFonts w:ascii="Times New Roman" w:hAnsi="Times New Roman"/>
          <w:szCs w:val="24"/>
        </w:rPr>
        <w:lastRenderedPageBreak/>
        <w:t xml:space="preserve">In areas of sharp curves, as specified in the schedule of quantities and as directed by the Engineer, the Contractor shall be required to place an </w:t>
      </w:r>
      <w:r w:rsidRPr="0063764F">
        <w:rPr>
          <w:rFonts w:ascii="Times New Roman" w:hAnsi="Times New Roman"/>
          <w:bCs/>
          <w:szCs w:val="24"/>
        </w:rPr>
        <w:t>eight inch (8")</w:t>
      </w:r>
      <w:r w:rsidRPr="0063764F">
        <w:rPr>
          <w:rFonts w:ascii="Times New Roman" w:hAnsi="Times New Roman"/>
          <w:szCs w:val="24"/>
        </w:rPr>
        <w:t xml:space="preserve"> white edge line.</w:t>
      </w:r>
    </w:p>
    <w:p w:rsidR="006F4401" w:rsidRPr="0063764F" w:rsidRDefault="006F4401" w:rsidP="006F4401">
      <w:pPr>
        <w:pStyle w:val="ListParagraph"/>
        <w:numPr>
          <w:ilvl w:val="0"/>
          <w:numId w:val="2"/>
        </w:numPr>
        <w:rPr>
          <w:rFonts w:ascii="Times New Roman" w:hAnsi="Times New Roman"/>
          <w:szCs w:val="24"/>
        </w:rPr>
      </w:pPr>
      <w:r w:rsidRPr="0063764F">
        <w:rPr>
          <w:rFonts w:ascii="Times New Roman" w:hAnsi="Times New Roman"/>
          <w:szCs w:val="24"/>
        </w:rPr>
        <w:t>The placement of paint pavement marking on areas of raised medians and median curb faces shall be as specified in the schedule of quantities and as designated by the Engineer and/or his representatives.  The Contractor shall make certain that the surface to be marked is dry and free of dirt, grease, or any other marking.  The surface shall be cleaned by sand blasting or by other means to the satisfaction of the Engineer and/or his representatives.</w:t>
      </w:r>
    </w:p>
    <w:p w:rsidR="006F4401" w:rsidRPr="0063764F" w:rsidRDefault="006F4401" w:rsidP="006F4401">
      <w:pPr>
        <w:pStyle w:val="ListParagraph"/>
        <w:numPr>
          <w:ilvl w:val="0"/>
          <w:numId w:val="2"/>
        </w:numPr>
        <w:rPr>
          <w:rFonts w:ascii="Times New Roman" w:hAnsi="Times New Roman"/>
          <w:szCs w:val="24"/>
        </w:rPr>
      </w:pPr>
      <w:r w:rsidRPr="0063764F">
        <w:rPr>
          <w:rFonts w:ascii="Times New Roman" w:hAnsi="Times New Roman"/>
          <w:szCs w:val="24"/>
        </w:rPr>
        <w:t>The Contractor shall be required to maintain a minimum initial retro-reflectivity for all paint pavement markings that he/she applies, as follows:</w:t>
      </w:r>
    </w:p>
    <w:p w:rsidR="006F4401" w:rsidRPr="00574146" w:rsidRDefault="006F4401" w:rsidP="006F4401">
      <w:pPr>
        <w:rPr>
          <w:szCs w:val="24"/>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50"/>
        <w:gridCol w:w="3348"/>
      </w:tblGrid>
      <w:tr w:rsidR="006F4401" w:rsidRPr="001730BD" w:rsidTr="00990322">
        <w:trPr>
          <w:trHeight w:val="897"/>
        </w:trPr>
        <w:tc>
          <w:tcPr>
            <w:tcW w:w="2250" w:type="dxa"/>
            <w:tcBorders>
              <w:top w:val="double" w:sz="4" w:space="0" w:color="auto"/>
              <w:left w:val="double" w:sz="4" w:space="0" w:color="auto"/>
              <w:bottom w:val="double" w:sz="4" w:space="0" w:color="auto"/>
              <w:right w:val="single" w:sz="12" w:space="0" w:color="auto"/>
            </w:tcBorders>
          </w:tcPr>
          <w:p w:rsidR="006F4401" w:rsidRPr="001730BD" w:rsidRDefault="006F4401" w:rsidP="00990322">
            <w:pPr>
              <w:ind w:left="720"/>
              <w:jc w:val="center"/>
              <w:rPr>
                <w:rFonts w:cs="Times New Roman"/>
                <w:b/>
                <w:bCs/>
                <w:szCs w:val="24"/>
              </w:rPr>
            </w:pPr>
          </w:p>
          <w:p w:rsidR="006F4401" w:rsidRPr="001730BD" w:rsidRDefault="006F4401" w:rsidP="00990322">
            <w:pPr>
              <w:ind w:left="720"/>
              <w:jc w:val="center"/>
              <w:rPr>
                <w:rFonts w:cs="Times New Roman"/>
                <w:b/>
                <w:bCs/>
                <w:szCs w:val="24"/>
              </w:rPr>
            </w:pPr>
            <w:r w:rsidRPr="001730BD">
              <w:rPr>
                <w:rFonts w:cs="Times New Roman"/>
                <w:b/>
                <w:bCs/>
                <w:szCs w:val="24"/>
              </w:rPr>
              <w:t>Material</w:t>
            </w:r>
          </w:p>
        </w:tc>
        <w:tc>
          <w:tcPr>
            <w:tcW w:w="2250" w:type="dxa"/>
            <w:tcBorders>
              <w:top w:val="double" w:sz="4" w:space="0" w:color="auto"/>
              <w:left w:val="single" w:sz="12" w:space="0" w:color="auto"/>
              <w:bottom w:val="double" w:sz="4" w:space="0" w:color="auto"/>
            </w:tcBorders>
          </w:tcPr>
          <w:p w:rsidR="006F4401" w:rsidRPr="001730BD" w:rsidRDefault="006F4401" w:rsidP="00990322">
            <w:pPr>
              <w:ind w:left="720"/>
              <w:jc w:val="center"/>
              <w:rPr>
                <w:rFonts w:cs="Times New Roman"/>
                <w:b/>
                <w:bCs/>
                <w:szCs w:val="24"/>
              </w:rPr>
            </w:pPr>
          </w:p>
          <w:p w:rsidR="006F4401" w:rsidRPr="001730BD" w:rsidRDefault="006F4401" w:rsidP="00990322">
            <w:pPr>
              <w:ind w:left="720"/>
              <w:jc w:val="center"/>
              <w:rPr>
                <w:rFonts w:cs="Times New Roman"/>
                <w:b/>
                <w:bCs/>
                <w:szCs w:val="24"/>
              </w:rPr>
            </w:pPr>
            <w:r w:rsidRPr="001730BD">
              <w:rPr>
                <w:rFonts w:cs="Times New Roman"/>
                <w:b/>
                <w:bCs/>
                <w:szCs w:val="24"/>
              </w:rPr>
              <w:t>Color</w:t>
            </w:r>
          </w:p>
        </w:tc>
        <w:tc>
          <w:tcPr>
            <w:tcW w:w="3348" w:type="dxa"/>
            <w:tcBorders>
              <w:top w:val="double" w:sz="4" w:space="0" w:color="auto"/>
              <w:bottom w:val="double" w:sz="4" w:space="0" w:color="auto"/>
              <w:right w:val="double" w:sz="4" w:space="0" w:color="auto"/>
            </w:tcBorders>
          </w:tcPr>
          <w:p w:rsidR="006F4401" w:rsidRPr="001730BD" w:rsidRDefault="006F4401" w:rsidP="00990322">
            <w:pPr>
              <w:ind w:left="720"/>
              <w:jc w:val="center"/>
              <w:rPr>
                <w:rFonts w:cs="Times New Roman"/>
                <w:b/>
                <w:bCs/>
                <w:szCs w:val="24"/>
              </w:rPr>
            </w:pPr>
          </w:p>
          <w:p w:rsidR="006F4401" w:rsidRPr="001730BD" w:rsidRDefault="006F4401" w:rsidP="00990322">
            <w:pPr>
              <w:ind w:left="720"/>
              <w:jc w:val="center"/>
              <w:rPr>
                <w:rFonts w:cs="Times New Roman"/>
                <w:b/>
                <w:bCs/>
                <w:szCs w:val="24"/>
              </w:rPr>
            </w:pPr>
            <w:r w:rsidRPr="001730BD">
              <w:rPr>
                <w:rFonts w:cs="Times New Roman"/>
                <w:b/>
                <w:bCs/>
                <w:szCs w:val="24"/>
              </w:rPr>
              <w:t>Retro-reflectivity</w:t>
            </w:r>
          </w:p>
          <w:p w:rsidR="006F4401" w:rsidRPr="001730BD" w:rsidRDefault="006F4401" w:rsidP="00990322">
            <w:pPr>
              <w:ind w:left="720"/>
              <w:jc w:val="center"/>
              <w:rPr>
                <w:rFonts w:cs="Times New Roman"/>
                <w:szCs w:val="24"/>
              </w:rPr>
            </w:pPr>
            <w:r w:rsidRPr="001730BD">
              <w:rPr>
                <w:rFonts w:cs="Times New Roman"/>
                <w:szCs w:val="24"/>
              </w:rPr>
              <w:t>(millicandelas/m2/lux)</w:t>
            </w:r>
          </w:p>
        </w:tc>
      </w:tr>
      <w:tr w:rsidR="006F4401" w:rsidRPr="001730BD" w:rsidTr="00990322">
        <w:tc>
          <w:tcPr>
            <w:tcW w:w="2250" w:type="dxa"/>
            <w:tcBorders>
              <w:top w:val="double" w:sz="4" w:space="0" w:color="auto"/>
              <w:left w:val="double" w:sz="4" w:space="0" w:color="auto"/>
            </w:tcBorders>
          </w:tcPr>
          <w:p w:rsidR="006F4401" w:rsidRPr="001730BD" w:rsidRDefault="006F4401" w:rsidP="00990322">
            <w:pPr>
              <w:ind w:left="720"/>
              <w:jc w:val="center"/>
              <w:rPr>
                <w:rFonts w:cs="Times New Roman"/>
                <w:szCs w:val="24"/>
              </w:rPr>
            </w:pPr>
            <w:r w:rsidRPr="001730BD">
              <w:rPr>
                <w:rFonts w:cs="Times New Roman"/>
                <w:szCs w:val="24"/>
              </w:rPr>
              <w:t>Paint</w:t>
            </w:r>
          </w:p>
        </w:tc>
        <w:tc>
          <w:tcPr>
            <w:tcW w:w="2250" w:type="dxa"/>
            <w:tcBorders>
              <w:top w:val="double" w:sz="4" w:space="0" w:color="auto"/>
            </w:tcBorders>
          </w:tcPr>
          <w:p w:rsidR="006F4401" w:rsidRPr="001730BD" w:rsidRDefault="006F4401" w:rsidP="00990322">
            <w:pPr>
              <w:ind w:left="720"/>
              <w:jc w:val="center"/>
              <w:rPr>
                <w:rFonts w:cs="Times New Roman"/>
                <w:szCs w:val="24"/>
              </w:rPr>
            </w:pPr>
            <w:r w:rsidRPr="001730BD">
              <w:rPr>
                <w:rFonts w:cs="Times New Roman"/>
                <w:szCs w:val="24"/>
              </w:rPr>
              <w:t>White</w:t>
            </w:r>
          </w:p>
        </w:tc>
        <w:tc>
          <w:tcPr>
            <w:tcW w:w="3348" w:type="dxa"/>
            <w:tcBorders>
              <w:top w:val="double" w:sz="4" w:space="0" w:color="auto"/>
              <w:right w:val="double" w:sz="4" w:space="0" w:color="auto"/>
            </w:tcBorders>
          </w:tcPr>
          <w:p w:rsidR="006F4401" w:rsidRPr="001730BD" w:rsidRDefault="006F4401" w:rsidP="00990322">
            <w:pPr>
              <w:ind w:left="720"/>
              <w:jc w:val="center"/>
              <w:rPr>
                <w:rFonts w:cs="Times New Roman"/>
                <w:b/>
                <w:bCs/>
                <w:szCs w:val="24"/>
              </w:rPr>
            </w:pPr>
            <w:r w:rsidRPr="001730BD">
              <w:rPr>
                <w:rFonts w:cs="Times New Roman"/>
                <w:b/>
                <w:bCs/>
                <w:szCs w:val="24"/>
              </w:rPr>
              <w:t>200</w:t>
            </w:r>
          </w:p>
        </w:tc>
      </w:tr>
      <w:tr w:rsidR="006F4401" w:rsidRPr="001730BD" w:rsidTr="00990322">
        <w:tc>
          <w:tcPr>
            <w:tcW w:w="2250" w:type="dxa"/>
            <w:tcBorders>
              <w:left w:val="double" w:sz="4" w:space="0" w:color="auto"/>
              <w:bottom w:val="double" w:sz="4" w:space="0" w:color="auto"/>
            </w:tcBorders>
          </w:tcPr>
          <w:p w:rsidR="006F4401" w:rsidRPr="001730BD" w:rsidRDefault="006F4401" w:rsidP="00990322">
            <w:pPr>
              <w:ind w:left="720"/>
              <w:jc w:val="center"/>
              <w:rPr>
                <w:rFonts w:cs="Times New Roman"/>
                <w:szCs w:val="24"/>
              </w:rPr>
            </w:pPr>
            <w:r w:rsidRPr="001730BD">
              <w:rPr>
                <w:rFonts w:cs="Times New Roman"/>
                <w:szCs w:val="24"/>
              </w:rPr>
              <w:t>Paint</w:t>
            </w:r>
          </w:p>
        </w:tc>
        <w:tc>
          <w:tcPr>
            <w:tcW w:w="2250" w:type="dxa"/>
            <w:tcBorders>
              <w:bottom w:val="double" w:sz="4" w:space="0" w:color="auto"/>
            </w:tcBorders>
          </w:tcPr>
          <w:p w:rsidR="006F4401" w:rsidRPr="001730BD" w:rsidRDefault="006F4401" w:rsidP="00990322">
            <w:pPr>
              <w:ind w:left="720"/>
              <w:jc w:val="center"/>
              <w:rPr>
                <w:rFonts w:cs="Times New Roman"/>
                <w:szCs w:val="24"/>
              </w:rPr>
            </w:pPr>
            <w:r w:rsidRPr="001730BD">
              <w:rPr>
                <w:rFonts w:cs="Times New Roman"/>
                <w:szCs w:val="24"/>
              </w:rPr>
              <w:t>Yellow</w:t>
            </w:r>
          </w:p>
        </w:tc>
        <w:tc>
          <w:tcPr>
            <w:tcW w:w="3348" w:type="dxa"/>
            <w:tcBorders>
              <w:bottom w:val="double" w:sz="4" w:space="0" w:color="auto"/>
              <w:right w:val="double" w:sz="4" w:space="0" w:color="auto"/>
            </w:tcBorders>
          </w:tcPr>
          <w:p w:rsidR="006F4401" w:rsidRPr="001730BD" w:rsidRDefault="006F4401" w:rsidP="00990322">
            <w:pPr>
              <w:ind w:left="720"/>
              <w:jc w:val="center"/>
              <w:rPr>
                <w:rFonts w:cs="Times New Roman"/>
                <w:b/>
                <w:bCs/>
                <w:szCs w:val="24"/>
              </w:rPr>
            </w:pPr>
            <w:r w:rsidRPr="001730BD">
              <w:rPr>
                <w:rFonts w:cs="Times New Roman"/>
                <w:b/>
                <w:bCs/>
                <w:szCs w:val="24"/>
              </w:rPr>
              <w:t>175</w:t>
            </w:r>
          </w:p>
        </w:tc>
      </w:tr>
    </w:tbl>
    <w:p w:rsidR="006F4401" w:rsidRPr="001730BD" w:rsidRDefault="006F4401" w:rsidP="006F4401">
      <w:pPr>
        <w:rPr>
          <w:rFonts w:cs="Times New Roman"/>
          <w:szCs w:val="24"/>
        </w:rPr>
      </w:pPr>
    </w:p>
    <w:p w:rsidR="006F4401" w:rsidRDefault="006F4401" w:rsidP="006F4401">
      <w:pPr>
        <w:rPr>
          <w:rFonts w:cs="Times New Roman"/>
          <w:szCs w:val="24"/>
        </w:rPr>
      </w:pPr>
      <w:r w:rsidRPr="001730BD">
        <w:rPr>
          <w:rFonts w:cs="Times New Roman"/>
          <w:szCs w:val="24"/>
        </w:rPr>
        <w:t xml:space="preserve">The Engineer and/or his representatives will measure the retro-reflectivity a minimum of </w:t>
      </w:r>
      <w:r w:rsidRPr="001730BD">
        <w:rPr>
          <w:rFonts w:cs="Times New Roman"/>
          <w:bCs/>
          <w:szCs w:val="24"/>
        </w:rPr>
        <w:t>twelve (12) hours</w:t>
      </w:r>
      <w:r w:rsidRPr="001730BD">
        <w:rPr>
          <w:rFonts w:cs="Times New Roman"/>
          <w:szCs w:val="24"/>
        </w:rPr>
        <w:t xml:space="preserve"> after and within </w:t>
      </w:r>
      <w:r w:rsidRPr="001730BD">
        <w:rPr>
          <w:rFonts w:cs="Times New Roman"/>
          <w:bCs/>
          <w:szCs w:val="24"/>
        </w:rPr>
        <w:t>fourteen (14) days</w:t>
      </w:r>
      <w:r w:rsidRPr="001730BD">
        <w:rPr>
          <w:rFonts w:cs="Times New Roman"/>
          <w:szCs w:val="24"/>
        </w:rPr>
        <w:t xml:space="preserve"> of the application.  The Engineer will take a minimum of </w:t>
      </w:r>
      <w:r w:rsidRPr="001730BD">
        <w:rPr>
          <w:rFonts w:cs="Times New Roman"/>
          <w:bCs/>
          <w:szCs w:val="24"/>
        </w:rPr>
        <w:t>ten (10)</w:t>
      </w:r>
      <w:r w:rsidRPr="001730BD">
        <w:rPr>
          <w:rFonts w:cs="Times New Roman"/>
          <w:szCs w:val="24"/>
        </w:rPr>
        <w:t xml:space="preserve"> readings per color line, evenly spaced, on a </w:t>
      </w:r>
      <w:r w:rsidRPr="001730BD">
        <w:rPr>
          <w:rFonts w:cs="Times New Roman"/>
          <w:bCs/>
          <w:szCs w:val="24"/>
        </w:rPr>
        <w:t xml:space="preserve">1,000 meter (0.6 mile) </w:t>
      </w:r>
      <w:r w:rsidRPr="001730BD">
        <w:rPr>
          <w:rFonts w:cs="Times New Roman"/>
          <w:szCs w:val="24"/>
        </w:rPr>
        <w:t>roadway section on all roadways specified in the schedule of quantities for paint pavement marking or as determined by the Engineer and/or his representatives.  The Engineer and/or his representatives will average all of the readings for each color line within the 1,000 meter section of roadway to determine the retro-reflectivity.  The Contractor shall be required to replace all paint pavement markings not meeting the minimum retro-reflectivity requirements at no additional expense to this contract.</w:t>
      </w:r>
    </w:p>
    <w:p w:rsidR="00E027F4" w:rsidRPr="001730BD" w:rsidRDefault="00E027F4" w:rsidP="006F4401">
      <w:pPr>
        <w:rPr>
          <w:rFonts w:cs="Times New Roman"/>
          <w:szCs w:val="24"/>
        </w:rPr>
      </w:pPr>
    </w:p>
    <w:p w:rsidR="006F4401" w:rsidRDefault="006F4401" w:rsidP="006F4401">
      <w:pPr>
        <w:rPr>
          <w:rFonts w:cs="Times New Roman"/>
          <w:szCs w:val="24"/>
        </w:rPr>
      </w:pPr>
      <w:r>
        <w:rPr>
          <w:rFonts w:cs="Times New Roman"/>
          <w:b/>
          <w:szCs w:val="24"/>
        </w:rPr>
        <w:t xml:space="preserve">Equipment: </w:t>
      </w:r>
      <w:r w:rsidRPr="001730BD">
        <w:rPr>
          <w:rFonts w:cs="Times New Roman"/>
          <w:szCs w:val="24"/>
        </w:rPr>
        <w:t xml:space="preserve">All equipment used for installing paint pavement markings shall be accordance with </w:t>
      </w:r>
      <w:r w:rsidRPr="00CE3D44">
        <w:rPr>
          <w:rFonts w:cs="Times New Roman"/>
          <w:bCs/>
          <w:szCs w:val="24"/>
        </w:rPr>
        <w:t>Section 1100</w:t>
      </w:r>
      <w:r w:rsidRPr="001730BD">
        <w:rPr>
          <w:rFonts w:cs="Times New Roman"/>
          <w:b/>
          <w:bCs/>
          <w:szCs w:val="24"/>
        </w:rPr>
        <w:t xml:space="preserve"> </w:t>
      </w:r>
      <w:r w:rsidRPr="001730BD">
        <w:rPr>
          <w:rFonts w:cs="Times New Roman"/>
          <w:szCs w:val="24"/>
        </w:rPr>
        <w:t>of the Standard Specifications and the following requirements:</w:t>
      </w:r>
    </w:p>
    <w:p w:rsidR="00E027F4" w:rsidRPr="001730BD" w:rsidRDefault="00E027F4" w:rsidP="006F4401">
      <w:pPr>
        <w:rPr>
          <w:rFonts w:cs="Times New Roman"/>
          <w:szCs w:val="24"/>
        </w:rPr>
      </w:pPr>
    </w:p>
    <w:p w:rsidR="006F4401" w:rsidRPr="001730BD" w:rsidRDefault="006F4401" w:rsidP="006F4401">
      <w:pPr>
        <w:numPr>
          <w:ilvl w:val="0"/>
          <w:numId w:val="1"/>
        </w:numPr>
        <w:rPr>
          <w:rFonts w:cs="Times New Roman"/>
          <w:szCs w:val="24"/>
        </w:rPr>
      </w:pPr>
      <w:r w:rsidRPr="001730BD">
        <w:rPr>
          <w:rFonts w:cs="Times New Roman"/>
          <w:szCs w:val="24"/>
        </w:rPr>
        <w:t>The Contractor shall abide by all local ordinances governing the use of this type of equipment.</w:t>
      </w:r>
    </w:p>
    <w:p w:rsidR="006F4401" w:rsidRPr="001730BD" w:rsidRDefault="006F4401" w:rsidP="006F4401">
      <w:pPr>
        <w:numPr>
          <w:ilvl w:val="0"/>
          <w:numId w:val="1"/>
        </w:numPr>
        <w:rPr>
          <w:rFonts w:cs="Times New Roman"/>
          <w:szCs w:val="24"/>
        </w:rPr>
      </w:pPr>
      <w:r w:rsidRPr="001730BD">
        <w:rPr>
          <w:rFonts w:cs="Times New Roman"/>
          <w:szCs w:val="24"/>
        </w:rPr>
        <w:t>Subsequent to the award of the contract the Contractor shall furnish evidence, satisfactory to the Engineer and/or his representatives, that the equipment to be used on this contract meets the requirements as state herein</w:t>
      </w:r>
      <w:r w:rsidR="002101D8">
        <w:rPr>
          <w:rFonts w:cs="Times New Roman"/>
          <w:szCs w:val="24"/>
        </w:rPr>
        <w:t xml:space="preserve"> </w:t>
      </w:r>
      <w:r w:rsidR="002101D8" w:rsidRPr="00952F50">
        <w:rPr>
          <w:rFonts w:cs="Times New Roman"/>
          <w:b/>
          <w:i/>
          <w:szCs w:val="24"/>
        </w:rPr>
        <w:t>and has been recently serviced and calibrated per manufacture specifications</w:t>
      </w:r>
      <w:r w:rsidRPr="00952F50">
        <w:rPr>
          <w:rFonts w:cs="Times New Roman"/>
          <w:b/>
          <w:i/>
          <w:szCs w:val="24"/>
        </w:rPr>
        <w:t>.</w:t>
      </w:r>
    </w:p>
    <w:p w:rsidR="006F4401" w:rsidRPr="001730BD" w:rsidRDefault="006F4401" w:rsidP="006F4401">
      <w:pPr>
        <w:numPr>
          <w:ilvl w:val="0"/>
          <w:numId w:val="1"/>
        </w:numPr>
        <w:rPr>
          <w:rFonts w:cs="Times New Roman"/>
          <w:szCs w:val="24"/>
        </w:rPr>
      </w:pPr>
      <w:r w:rsidRPr="001730BD">
        <w:rPr>
          <w:rFonts w:cs="Times New Roman"/>
          <w:szCs w:val="24"/>
        </w:rPr>
        <w:t>Water blasting equipment shall be truck mounted with a minimum carrying capacity of 6435 liters (</w:t>
      </w:r>
      <w:r w:rsidRPr="001730BD">
        <w:rPr>
          <w:rFonts w:cs="Times New Roman"/>
          <w:bCs/>
          <w:szCs w:val="24"/>
        </w:rPr>
        <w:t>1,700 gallons</w:t>
      </w:r>
      <w:r w:rsidRPr="001730BD">
        <w:rPr>
          <w:rFonts w:cs="Times New Roman"/>
          <w:szCs w:val="24"/>
        </w:rPr>
        <w:t>).  It shall have at least one (1) high pressure pump capable of producing at least 68.95 megapascals (</w:t>
      </w:r>
      <w:r w:rsidRPr="001730BD">
        <w:rPr>
          <w:rFonts w:cs="Times New Roman"/>
          <w:bCs/>
          <w:szCs w:val="24"/>
        </w:rPr>
        <w:t xml:space="preserve">10,000 p </w:t>
      </w:r>
      <w:proofErr w:type="spellStart"/>
      <w:r w:rsidRPr="001730BD">
        <w:rPr>
          <w:rFonts w:cs="Times New Roman"/>
          <w:bCs/>
          <w:szCs w:val="24"/>
        </w:rPr>
        <w:t>s.i</w:t>
      </w:r>
      <w:proofErr w:type="spellEnd"/>
      <w:r w:rsidRPr="001730BD">
        <w:rPr>
          <w:rFonts w:cs="Times New Roman"/>
          <w:bCs/>
          <w:szCs w:val="24"/>
        </w:rPr>
        <w:t>.</w:t>
      </w:r>
      <w:r w:rsidRPr="001730BD">
        <w:rPr>
          <w:rFonts w:cs="Times New Roman"/>
          <w:szCs w:val="24"/>
        </w:rPr>
        <w:t>) with a flow rate of 75.7 liters (</w:t>
      </w:r>
      <w:r w:rsidRPr="001730BD">
        <w:rPr>
          <w:rFonts w:cs="Times New Roman"/>
          <w:bCs/>
          <w:szCs w:val="24"/>
        </w:rPr>
        <w:t>20 gallons</w:t>
      </w:r>
      <w:r w:rsidRPr="001730BD">
        <w:rPr>
          <w:rFonts w:cs="Times New Roman"/>
          <w:szCs w:val="24"/>
        </w:rPr>
        <w:t>).</w:t>
      </w:r>
    </w:p>
    <w:p w:rsidR="006F4401" w:rsidRDefault="006F4401" w:rsidP="006F4401">
      <w:pPr>
        <w:numPr>
          <w:ilvl w:val="0"/>
          <w:numId w:val="1"/>
        </w:numPr>
        <w:rPr>
          <w:rFonts w:cs="Times New Roman"/>
          <w:szCs w:val="24"/>
        </w:rPr>
      </w:pPr>
      <w:r w:rsidRPr="001730BD">
        <w:rPr>
          <w:rFonts w:cs="Times New Roman"/>
          <w:szCs w:val="24"/>
        </w:rPr>
        <w:lastRenderedPageBreak/>
        <w:t>A minimum of 5,678 liters (1,500 gallons) water supply truck shall accompany the water blasting unit to insure continuous cleaning without impeding normal traffic movement.</w:t>
      </w:r>
    </w:p>
    <w:p w:rsidR="002101D8" w:rsidRDefault="002101D8" w:rsidP="006F4401">
      <w:pPr>
        <w:numPr>
          <w:ilvl w:val="0"/>
          <w:numId w:val="1"/>
        </w:numPr>
        <w:rPr>
          <w:rFonts w:cs="Times New Roman"/>
          <w:szCs w:val="24"/>
        </w:rPr>
      </w:pPr>
      <w:r>
        <w:rPr>
          <w:rFonts w:cs="Times New Roman"/>
          <w:szCs w:val="24"/>
        </w:rPr>
        <w:t>All equipment shall be in good working order prior to start of work.</w:t>
      </w:r>
    </w:p>
    <w:p w:rsidR="008511BE" w:rsidRDefault="008511BE" w:rsidP="008511BE">
      <w:pPr>
        <w:rPr>
          <w:rFonts w:cs="Times New Roman"/>
          <w:szCs w:val="24"/>
        </w:rPr>
      </w:pPr>
    </w:p>
    <w:p w:rsidR="00C016D1" w:rsidRDefault="00C016D1" w:rsidP="008511BE">
      <w:pPr>
        <w:rPr>
          <w:b/>
          <w:i/>
        </w:rPr>
      </w:pPr>
      <w:r w:rsidRPr="00C016D1">
        <w:rPr>
          <w:b/>
          <w:i/>
        </w:rPr>
        <w:t xml:space="preserve">For locations/routes/roads longer than 200 feet, a truck mounted spraying device, operated from the same truck that the equipment is mounted from, is required for application. The use of a hand truck for main line pavement markings is to be avoided. </w:t>
      </w:r>
    </w:p>
    <w:p w:rsidR="00C016D1" w:rsidRDefault="00C016D1" w:rsidP="008511BE">
      <w:pPr>
        <w:rPr>
          <w:b/>
          <w:i/>
        </w:rPr>
      </w:pPr>
    </w:p>
    <w:p w:rsidR="00C016D1" w:rsidRDefault="00C016D1" w:rsidP="008511BE">
      <w:pPr>
        <w:rPr>
          <w:b/>
          <w:i/>
        </w:rPr>
      </w:pPr>
      <w:r w:rsidRPr="00C016D1">
        <w:rPr>
          <w:b/>
          <w:i/>
        </w:rPr>
        <w:t xml:space="preserve">Contractor should have well maintained, clean, serviceable equipment on site in order to start the day. Equipment breakdowns should be limited to emergency situations only. </w:t>
      </w:r>
    </w:p>
    <w:p w:rsidR="00C016D1" w:rsidRDefault="00C016D1" w:rsidP="008511BE">
      <w:pPr>
        <w:rPr>
          <w:b/>
          <w:i/>
        </w:rPr>
      </w:pPr>
    </w:p>
    <w:p w:rsidR="008511BE" w:rsidRPr="00C016D1" w:rsidRDefault="00C016D1" w:rsidP="008511BE">
      <w:pPr>
        <w:rPr>
          <w:rFonts w:cs="Times New Roman"/>
          <w:b/>
          <w:i/>
          <w:szCs w:val="24"/>
        </w:rPr>
      </w:pPr>
      <w:r w:rsidRPr="00C016D1">
        <w:rPr>
          <w:b/>
          <w:i/>
        </w:rPr>
        <w:t>A deficiency deduction of $1,000.00 per incident, for excessive breakdowns of equipment, will be applied to monies due to the Contractor, as determined by the Engineer.</w:t>
      </w:r>
    </w:p>
    <w:p w:rsidR="008511BE" w:rsidRDefault="008511BE" w:rsidP="008511BE">
      <w:pPr>
        <w:rPr>
          <w:rFonts w:cs="Times New Roman"/>
          <w:szCs w:val="24"/>
        </w:rPr>
      </w:pPr>
    </w:p>
    <w:p w:rsidR="006F4401" w:rsidRDefault="006F4401" w:rsidP="006F4401">
      <w:pPr>
        <w:rPr>
          <w:rFonts w:cs="Times New Roman"/>
          <w:szCs w:val="24"/>
        </w:rPr>
      </w:pPr>
      <w:r>
        <w:rPr>
          <w:rFonts w:cs="Times New Roman"/>
          <w:b/>
          <w:szCs w:val="24"/>
        </w:rPr>
        <w:t xml:space="preserve">Basis of Payment: </w:t>
      </w:r>
      <w:r>
        <w:rPr>
          <w:rFonts w:cs="Times New Roman"/>
          <w:bCs/>
          <w:szCs w:val="24"/>
        </w:rPr>
        <w:t>Paint pavement marking lane lines, centerlines, and edge lines</w:t>
      </w:r>
      <w:r w:rsidRPr="001730BD">
        <w:rPr>
          <w:rFonts w:cs="Times New Roman"/>
          <w:bCs/>
          <w:szCs w:val="24"/>
        </w:rPr>
        <w:t xml:space="preserve"> </w:t>
      </w:r>
      <w:r w:rsidRPr="001730BD">
        <w:rPr>
          <w:rFonts w:cs="Times New Roman"/>
          <w:szCs w:val="24"/>
        </w:rPr>
        <w:t xml:space="preserve">shall be paid for at the contract unit price per </w:t>
      </w:r>
      <w:r>
        <w:rPr>
          <w:rFonts w:cs="Times New Roman"/>
          <w:szCs w:val="24"/>
        </w:rPr>
        <w:t>foot for PAINT PAVEMENT MARKING – LINE of the width specified, which price shall be payment in full for all labor, materials, and equipment necessary to complete the work described above.</w:t>
      </w:r>
    </w:p>
    <w:p w:rsidR="00952F50" w:rsidRDefault="00952F50" w:rsidP="006F4401">
      <w:pPr>
        <w:rPr>
          <w:rFonts w:cs="Times New Roman"/>
          <w:szCs w:val="24"/>
        </w:rPr>
      </w:pPr>
    </w:p>
    <w:p w:rsidR="006F4401" w:rsidRDefault="006F4401" w:rsidP="006F4401">
      <w:pPr>
        <w:rPr>
          <w:rFonts w:cs="Times New Roman"/>
          <w:szCs w:val="24"/>
        </w:rPr>
      </w:pPr>
      <w:r>
        <w:rPr>
          <w:rFonts w:cs="Times New Roman"/>
          <w:szCs w:val="24"/>
        </w:rPr>
        <w:t xml:space="preserve">Paint pavement markings for medians and curbs shall be paid for at the contract unit price per </w:t>
      </w:r>
      <w:r w:rsidRPr="001730BD">
        <w:rPr>
          <w:rFonts w:cs="Times New Roman"/>
          <w:szCs w:val="24"/>
        </w:rPr>
        <w:t>square foot for PAINT PAVEME</w:t>
      </w:r>
      <w:r w:rsidR="008A1FA2">
        <w:rPr>
          <w:rFonts w:cs="Times New Roman"/>
          <w:szCs w:val="24"/>
        </w:rPr>
        <w:t>NT MARKING</w:t>
      </w:r>
      <w:r>
        <w:rPr>
          <w:rFonts w:cs="Times New Roman"/>
          <w:szCs w:val="24"/>
        </w:rPr>
        <w:t xml:space="preserve"> – MEDIANS</w:t>
      </w:r>
      <w:r w:rsidRPr="001730BD">
        <w:rPr>
          <w:rFonts w:cs="Times New Roman"/>
          <w:szCs w:val="24"/>
        </w:rPr>
        <w:t>, which price shall be payment in full for all labor, materials, and equipment necessary to complete the work described above.</w:t>
      </w:r>
    </w:p>
    <w:p w:rsidR="00C1410F" w:rsidRPr="001730BD" w:rsidRDefault="00C1410F" w:rsidP="006F4401">
      <w:pPr>
        <w:rPr>
          <w:rFonts w:cs="Times New Roman"/>
          <w:szCs w:val="24"/>
        </w:rPr>
      </w:pPr>
    </w:p>
    <w:p w:rsidR="00617C4F" w:rsidRDefault="006F4401" w:rsidP="006F4401">
      <w:r>
        <w:rPr>
          <w:rFonts w:cs="Times New Roman"/>
          <w:szCs w:val="24"/>
        </w:rPr>
        <w:t xml:space="preserve">Paint pavement markings for letters and symbols shall be paid for at the contract unit price per </w:t>
      </w:r>
      <w:r w:rsidRPr="001730BD">
        <w:rPr>
          <w:rFonts w:cs="Times New Roman"/>
          <w:szCs w:val="24"/>
        </w:rPr>
        <w:t xml:space="preserve">square foot for PAINT PAVEMENT MARKING LETTERS – </w:t>
      </w:r>
      <w:r>
        <w:rPr>
          <w:rFonts w:cs="Times New Roman"/>
          <w:szCs w:val="24"/>
        </w:rPr>
        <w:t>LETTERS AND SYMBOLS</w:t>
      </w:r>
      <w:r w:rsidRPr="001730BD">
        <w:rPr>
          <w:rFonts w:cs="Times New Roman"/>
          <w:szCs w:val="24"/>
        </w:rPr>
        <w:t>, which price shall be payment in full for all labor, materials, and equipment necessary to complete the work described above.</w:t>
      </w:r>
    </w:p>
    <w:sectPr w:rsidR="00617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2B2"/>
    <w:multiLevelType w:val="hybridMultilevel"/>
    <w:tmpl w:val="BCD25908"/>
    <w:lvl w:ilvl="0" w:tplc="7A3818DC">
      <w:start w:val="1"/>
      <w:numFmt w:val="upperLetter"/>
      <w:lvlText w:val="%1."/>
      <w:lvlJc w:val="left"/>
      <w:pPr>
        <w:tabs>
          <w:tab w:val="num" w:pos="1080"/>
        </w:tabs>
        <w:ind w:left="1080" w:hanging="360"/>
      </w:pPr>
      <w:rPr>
        <w:rFonts w:hint="default"/>
      </w:rPr>
    </w:lvl>
    <w:lvl w:ilvl="1" w:tplc="E5EE5EDA">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8FB25BB"/>
    <w:multiLevelType w:val="hybridMultilevel"/>
    <w:tmpl w:val="040CA138"/>
    <w:lvl w:ilvl="0" w:tplc="5194186C">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01"/>
    <w:rsid w:val="0005782E"/>
    <w:rsid w:val="00095732"/>
    <w:rsid w:val="001474DC"/>
    <w:rsid w:val="002101D8"/>
    <w:rsid w:val="00617C4F"/>
    <w:rsid w:val="006F4401"/>
    <w:rsid w:val="008511BE"/>
    <w:rsid w:val="008A1FA2"/>
    <w:rsid w:val="009052CC"/>
    <w:rsid w:val="00952F50"/>
    <w:rsid w:val="00B47128"/>
    <w:rsid w:val="00C016D1"/>
    <w:rsid w:val="00C1410F"/>
    <w:rsid w:val="00C32B5F"/>
    <w:rsid w:val="00D21A4A"/>
    <w:rsid w:val="00D27EC3"/>
    <w:rsid w:val="00DE2995"/>
    <w:rsid w:val="00E027F4"/>
    <w:rsid w:val="00E57077"/>
    <w:rsid w:val="00F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47E0"/>
  <w15:chartTrackingRefBased/>
  <w15:docId w15:val="{0BE97E3A-1E28-487F-9143-55E8423C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401"/>
    <w:pPr>
      <w:spacing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6F4401"/>
    <w:pPr>
      <w:keepNext/>
      <w:keepLines/>
      <w:spacing w:before="480"/>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401"/>
    <w:rPr>
      <w:rFonts w:ascii="Times New Roman" w:eastAsiaTheme="majorEastAsia" w:hAnsi="Times New Roman" w:cstheme="majorBidi"/>
      <w:b/>
      <w:bCs/>
      <w:sz w:val="28"/>
      <w:szCs w:val="28"/>
      <w:u w:val="single"/>
    </w:rPr>
  </w:style>
  <w:style w:type="paragraph" w:styleId="ListParagraph">
    <w:name w:val="List Paragraph"/>
    <w:basedOn w:val="Normal"/>
    <w:uiPriority w:val="34"/>
    <w:qFormat/>
    <w:rsid w:val="006F4401"/>
    <w:pPr>
      <w:spacing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0700. Work Zone Traffic Control and Protection, Signing, and Pavement Marking</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24AAC32-B2BB-445D-9175-2F20594105EB}"/>
</file>

<file path=customXml/itemProps2.xml><?xml version="1.0" encoding="utf-8"?>
<ds:datastoreItem xmlns:ds="http://schemas.openxmlformats.org/officeDocument/2006/customXml" ds:itemID="{A0F05655-7466-4BB6-A3AB-5A5ED1DE88B2}"/>
</file>

<file path=customXml/itemProps3.xml><?xml version="1.0" encoding="utf-8"?>
<ds:datastoreItem xmlns:ds="http://schemas.openxmlformats.org/officeDocument/2006/customXml" ds:itemID="{E8758A2A-D8BC-4A19-8777-69EF03B160CB}"/>
</file>

<file path=docProps/app.xml><?xml version="1.0" encoding="utf-8"?>
<Properties xmlns="http://schemas.openxmlformats.org/officeDocument/2006/extended-properties" xmlns:vt="http://schemas.openxmlformats.org/officeDocument/2006/docPropsVTypes">
  <Template>Normal</Template>
  <TotalTime>41</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Candance</dc:creator>
  <cp:keywords/>
  <dc:description/>
  <cp:lastModifiedBy>Thomas, Candance</cp:lastModifiedBy>
  <cp:revision>18</cp:revision>
  <dcterms:created xsi:type="dcterms:W3CDTF">2018-12-20T19:22:00Z</dcterms:created>
  <dcterms:modified xsi:type="dcterms:W3CDTF">2024-01-17T19:25:00Z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